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33FA" w:rsidRDefault="00C933FA">
      <w:pPr>
        <w:rPr>
          <w:rFonts w:ascii="Times New Roman" w:hAnsi="Times New Roman"/>
          <w:b/>
        </w:rPr>
      </w:pPr>
      <w:r w:rsidRPr="00C933FA">
        <w:rPr>
          <w:rFonts w:ascii="Times New Roman" w:hAnsi="Times New Roman"/>
          <w:b/>
        </w:rPr>
        <w:t>Kursa ceļvedis Mikroorganismu bioenerģētikā</w:t>
      </w:r>
      <w:r>
        <w:rPr>
          <w:rFonts w:ascii="Times New Roman" w:hAnsi="Times New Roman"/>
          <w:b/>
        </w:rPr>
        <w:t xml:space="preserve"> (Biol 5260)</w:t>
      </w:r>
    </w:p>
    <w:p w:rsidR="00C933FA" w:rsidRDefault="00C933FA">
      <w:pPr>
        <w:rPr>
          <w:rFonts w:ascii="Times New Roman" w:hAnsi="Times New Roman"/>
          <w:b/>
        </w:rPr>
      </w:pPr>
    </w:p>
    <w:tbl>
      <w:tblPr>
        <w:tblStyle w:val="TableGrid"/>
        <w:tblW w:w="8584" w:type="dxa"/>
        <w:tblLook w:val="00BF"/>
      </w:tblPr>
      <w:tblGrid>
        <w:gridCol w:w="1241"/>
        <w:gridCol w:w="566"/>
        <w:gridCol w:w="5347"/>
        <w:gridCol w:w="1430"/>
      </w:tblGrid>
      <w:tr w:rsidR="00C933FA" w:rsidRPr="00C933FA">
        <w:trPr>
          <w:trHeight w:val="942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Februāris</w:t>
            </w:r>
          </w:p>
        </w:tc>
        <w:tc>
          <w:tcPr>
            <w:tcW w:w="567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387" w:type="dxa"/>
          </w:tcPr>
          <w:p w:rsidR="00C933FA" w:rsidRPr="00BD2F95" w:rsidRDefault="00BD2F95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Red-oks kofaktori elpošanas ķēdē. Elpošanas ķēdes kompleksi. Baktēriju terminālās oksidāzes. Mitohondriju un baktēriju elektronu transporta salīdzinājums.</w:t>
            </w:r>
          </w:p>
        </w:tc>
        <w:tc>
          <w:tcPr>
            <w:tcW w:w="1388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>
        <w:trPr>
          <w:trHeight w:val="899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 w:rsidRPr="00C933FA">
              <w:rPr>
                <w:rFonts w:ascii="Times New Roman" w:hAnsi="Times New Roman"/>
              </w:rPr>
              <w:t>24.</w:t>
            </w:r>
          </w:p>
        </w:tc>
        <w:tc>
          <w:tcPr>
            <w:tcW w:w="5387" w:type="dxa"/>
          </w:tcPr>
          <w:p w:rsidR="00C933FA" w:rsidRPr="00EE1F69" w:rsidRDefault="00EE1F69" w:rsidP="00EE1F69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lang w:val="lv-LV"/>
              </w:rPr>
              <w:t xml:space="preserve">Elpošanas ķēdes uzbūve </w:t>
            </w:r>
            <w:r w:rsidRPr="00136FEE">
              <w:rPr>
                <w:i/>
                <w:lang w:val="lv-LV"/>
              </w:rPr>
              <w:t>Escherichia coli,</w:t>
            </w:r>
            <w:r>
              <w:rPr>
                <w:lang w:val="lv-LV"/>
              </w:rPr>
              <w:t xml:space="preserve"> tās atsevišķo atzaru enerģētiskā efektivitāte. Elpošanas ķēdes citās baktērijās; piemēri.</w:t>
            </w:r>
          </w:p>
        </w:tc>
        <w:tc>
          <w:tcPr>
            <w:tcW w:w="1388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>
        <w:trPr>
          <w:trHeight w:val="942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Marts</w:t>
            </w:r>
          </w:p>
        </w:tc>
        <w:tc>
          <w:tcPr>
            <w:tcW w:w="567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 w:rsidRPr="00C933FA">
              <w:rPr>
                <w:rFonts w:ascii="Times New Roman" w:hAnsi="Times New Roman"/>
              </w:rPr>
              <w:t>2.</w:t>
            </w:r>
          </w:p>
        </w:tc>
        <w:tc>
          <w:tcPr>
            <w:tcW w:w="5387" w:type="dxa"/>
          </w:tcPr>
          <w:p w:rsidR="00C933FA" w:rsidRPr="00D527D8" w:rsidRDefault="00D527D8" w:rsidP="00D527D8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lang w:val="lv-LV"/>
              </w:rPr>
              <w:t>Elpošanas ceļu regulācija atkarībā no pieejamā elektronu akceptora, tās fizioloģiskā loma. Arc, Fnr, Nar, Rex un Fix reguloni. Elpošanas un fotosintētiskā elektronu transporta koordinācija fotosintezējošajās baktērijās.</w:t>
            </w:r>
          </w:p>
        </w:tc>
        <w:tc>
          <w:tcPr>
            <w:tcW w:w="1388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 w:rsidTr="004075BE">
        <w:trPr>
          <w:trHeight w:val="514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387" w:type="dxa"/>
          </w:tcPr>
          <w:p w:rsidR="00C933FA" w:rsidRPr="004075BE" w:rsidRDefault="004075BE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Aerobo baktēriju adaptācijas zemām skābekļa koncentrācijām</w:t>
            </w:r>
          </w:p>
        </w:tc>
        <w:tc>
          <w:tcPr>
            <w:tcW w:w="1388" w:type="dxa"/>
          </w:tcPr>
          <w:p w:rsidR="00C933FA" w:rsidRPr="00C933FA" w:rsidRDefault="00C933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</w:t>
            </w:r>
          </w:p>
        </w:tc>
      </w:tr>
      <w:tr w:rsidR="00C933FA" w:rsidRPr="00C933FA">
        <w:trPr>
          <w:trHeight w:val="942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1D2EF4" w:rsidRDefault="001D2E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387" w:type="dxa"/>
          </w:tcPr>
          <w:p w:rsidR="00C933FA" w:rsidRPr="000443E0" w:rsidRDefault="000443E0" w:rsidP="000443E0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lang w:val="lv-LV"/>
              </w:rPr>
              <w:t xml:space="preserve">Skābekļa aktīvās formas, to veidošanās ceļi elpošanas ķēdē. Šūnas aizsardzības sistēmas pret </w:t>
            </w:r>
            <w:r>
              <w:rPr>
                <w:rFonts w:ascii="Times New Roman" w:hAnsi="Times New Roman"/>
                <w:lang w:val="lv-LV"/>
              </w:rPr>
              <w:t>O</w:t>
            </w:r>
            <w:r w:rsidRPr="000443E0">
              <w:rPr>
                <w:rFonts w:ascii="Times New Roman" w:hAnsi="Times New Roman"/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 xml:space="preserve"> aktīvajām formām: superoksīddismutāzes, peroksidāzes, katalāzes, tiolatkarīgās aizsardzības sistēmas. Oksidatīvā un nitrozatīvā stresa loma organisma aizsardzībā pret infekcijām.</w:t>
            </w:r>
          </w:p>
        </w:tc>
        <w:tc>
          <w:tcPr>
            <w:tcW w:w="1388" w:type="dxa"/>
          </w:tcPr>
          <w:p w:rsidR="00C933FA" w:rsidRPr="001D2EF4" w:rsidRDefault="001D2E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 w:rsidTr="00E057D7">
        <w:trPr>
          <w:trHeight w:val="518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1D2EF4" w:rsidRDefault="001D2E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387" w:type="dxa"/>
          </w:tcPr>
          <w:p w:rsidR="00C933FA" w:rsidRPr="00E057D7" w:rsidRDefault="00E057D7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Oksidatīvais</w:t>
            </w:r>
            <w:r w:rsidRPr="00B81006">
              <w:rPr>
                <w:lang w:val="lv-LV"/>
              </w:rPr>
              <w:t xml:space="preserve"> stress </w:t>
            </w:r>
            <w:r>
              <w:rPr>
                <w:lang w:val="lv-LV"/>
              </w:rPr>
              <w:t>patogēnajās baktērijās</w:t>
            </w:r>
          </w:p>
        </w:tc>
        <w:tc>
          <w:tcPr>
            <w:tcW w:w="1388" w:type="dxa"/>
          </w:tcPr>
          <w:p w:rsidR="00265B3B" w:rsidRDefault="00265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D2EF4">
              <w:rPr>
                <w:rFonts w:ascii="Times New Roman" w:hAnsi="Times New Roman"/>
              </w:rPr>
              <w:t>eminārs</w:t>
            </w:r>
            <w:r>
              <w:rPr>
                <w:rFonts w:ascii="Times New Roman" w:hAnsi="Times New Roman"/>
              </w:rPr>
              <w:t>,</w:t>
            </w:r>
          </w:p>
          <w:p w:rsidR="00C933FA" w:rsidRPr="001D2EF4" w:rsidRDefault="00265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kontroldarbs</w:t>
            </w:r>
          </w:p>
        </w:tc>
      </w:tr>
      <w:tr w:rsidR="00C933FA" w:rsidRPr="00C933FA" w:rsidTr="0022612B">
        <w:trPr>
          <w:trHeight w:val="527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DE3FFB" w:rsidRDefault="00DE3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387" w:type="dxa"/>
          </w:tcPr>
          <w:p w:rsidR="00C933FA" w:rsidRPr="0022612B" w:rsidRDefault="0022612B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Bioenerģētisko mehanismu īpatnības vidēs ar ļoti augstu vai ļoti zemu pH.</w:t>
            </w:r>
          </w:p>
        </w:tc>
        <w:tc>
          <w:tcPr>
            <w:tcW w:w="1388" w:type="dxa"/>
          </w:tcPr>
          <w:p w:rsidR="00C933FA" w:rsidRPr="00DE3FFB" w:rsidRDefault="00DE3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 w:rsidTr="009C7F1D">
        <w:trPr>
          <w:trHeight w:val="520"/>
        </w:trPr>
        <w:tc>
          <w:tcPr>
            <w:tcW w:w="1242" w:type="dxa"/>
          </w:tcPr>
          <w:p w:rsidR="00C933FA" w:rsidRPr="00DE3FFB" w:rsidRDefault="00DE3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Aprīlis</w:t>
            </w:r>
          </w:p>
        </w:tc>
        <w:tc>
          <w:tcPr>
            <w:tcW w:w="567" w:type="dxa"/>
          </w:tcPr>
          <w:p w:rsidR="00C933FA" w:rsidRPr="00DE3FFB" w:rsidRDefault="00DE3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387" w:type="dxa"/>
          </w:tcPr>
          <w:p w:rsidR="00C933FA" w:rsidRPr="009C7F1D" w:rsidRDefault="009C7F1D" w:rsidP="009C7F1D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lang w:val="lv-LV"/>
              </w:rPr>
              <w:t>Alkalifīlo un acidofīlo baktēriju elektronu transporta ķēdes un ATP sintāzes.</w:t>
            </w:r>
          </w:p>
        </w:tc>
        <w:tc>
          <w:tcPr>
            <w:tcW w:w="1388" w:type="dxa"/>
          </w:tcPr>
          <w:p w:rsidR="00C933FA" w:rsidRPr="00265B3B" w:rsidRDefault="00EC2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 w:rsidTr="001F0D41">
        <w:trPr>
          <w:trHeight w:val="231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EC2926" w:rsidRDefault="00EC2926">
            <w:pPr>
              <w:rPr>
                <w:rFonts w:ascii="Times New Roman" w:hAnsi="Times New Roman"/>
              </w:rPr>
            </w:pPr>
            <w:r w:rsidRPr="00EC2926">
              <w:rPr>
                <w:rFonts w:ascii="Times New Roman" w:hAnsi="Times New Roman"/>
              </w:rPr>
              <w:t>20.</w:t>
            </w:r>
          </w:p>
        </w:tc>
        <w:tc>
          <w:tcPr>
            <w:tcW w:w="5387" w:type="dxa"/>
          </w:tcPr>
          <w:p w:rsidR="00C933FA" w:rsidRPr="001F0D41" w:rsidRDefault="001F0D41" w:rsidP="001F0D41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lang w:val="lv-LV"/>
              </w:rPr>
              <w:t xml:space="preserve">Termoalkalifīlo baktēriju </w:t>
            </w:r>
            <w:r w:rsidRPr="0053025C">
              <w:rPr>
                <w:lang w:val="lv-LV"/>
              </w:rPr>
              <w:t>ATP sintāzes</w:t>
            </w:r>
          </w:p>
        </w:tc>
        <w:tc>
          <w:tcPr>
            <w:tcW w:w="1388" w:type="dxa"/>
          </w:tcPr>
          <w:p w:rsidR="00C933FA" w:rsidRPr="00265B3B" w:rsidRDefault="00EC2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</w:t>
            </w:r>
          </w:p>
        </w:tc>
      </w:tr>
      <w:tr w:rsidR="00C933FA" w:rsidRPr="00C933FA">
        <w:trPr>
          <w:trHeight w:val="942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BC39E0" w:rsidRDefault="00BC39E0">
            <w:pPr>
              <w:rPr>
                <w:rFonts w:ascii="Times New Roman" w:hAnsi="Times New Roman"/>
              </w:rPr>
            </w:pPr>
            <w:r w:rsidRPr="00BC39E0">
              <w:rPr>
                <w:rFonts w:ascii="Times New Roman" w:hAnsi="Times New Roman"/>
              </w:rPr>
              <w:t>27.</w:t>
            </w:r>
          </w:p>
        </w:tc>
        <w:tc>
          <w:tcPr>
            <w:tcW w:w="5387" w:type="dxa"/>
          </w:tcPr>
          <w:p w:rsidR="00C933FA" w:rsidRPr="0034222A" w:rsidRDefault="0034222A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Transporta sistēmu veidi to energoatkarība un regulācija. Fosfotransferāzes sistēma un katabolītu represijas mehanisms.</w:t>
            </w:r>
          </w:p>
        </w:tc>
        <w:tc>
          <w:tcPr>
            <w:tcW w:w="1388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 w:rsidRPr="00EF6152">
              <w:rPr>
                <w:rFonts w:ascii="Times New Roman" w:hAnsi="Times New Roman"/>
              </w:rPr>
              <w:t>lekcija</w:t>
            </w:r>
          </w:p>
        </w:tc>
      </w:tr>
      <w:tr w:rsidR="00C933FA" w:rsidRPr="00C933FA">
        <w:trPr>
          <w:trHeight w:val="899"/>
        </w:trPr>
        <w:tc>
          <w:tcPr>
            <w:tcW w:w="1242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Maijs</w:t>
            </w:r>
          </w:p>
        </w:tc>
        <w:tc>
          <w:tcPr>
            <w:tcW w:w="567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387" w:type="dxa"/>
          </w:tcPr>
          <w:p w:rsidR="00C933FA" w:rsidRPr="007D2AD9" w:rsidRDefault="007D2AD9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Membrānu transporta sistēmu metaboliskā inženierija. Bioenerģētiskie faktori, kuri nosaka producentu celmu noturību pret organiskajām skābēm un spirtiem.</w:t>
            </w:r>
          </w:p>
        </w:tc>
        <w:tc>
          <w:tcPr>
            <w:tcW w:w="1388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 w:rsidRPr="00EF6152">
              <w:rPr>
                <w:rFonts w:ascii="Times New Roman" w:hAnsi="Times New Roman"/>
              </w:rPr>
              <w:t>lekcija</w:t>
            </w:r>
          </w:p>
        </w:tc>
      </w:tr>
      <w:tr w:rsidR="00C933FA" w:rsidRPr="00C933FA" w:rsidTr="00111155">
        <w:trPr>
          <w:trHeight w:val="534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387" w:type="dxa"/>
          </w:tcPr>
          <w:p w:rsidR="00C933FA" w:rsidRPr="00111155" w:rsidRDefault="00111155">
            <w:pPr>
              <w:rPr>
                <w:rFonts w:ascii="Times New Roman" w:hAnsi="Times New Roman"/>
                <w:b/>
              </w:rPr>
            </w:pPr>
            <w:r>
              <w:rPr>
                <w:lang w:val="lv-LV"/>
              </w:rPr>
              <w:t>Anaerobās elpošanas loma vides biotehnoloģijā; piemēri. Ekstremofīlu pielietojumi biotehnoloģijā.</w:t>
            </w:r>
          </w:p>
        </w:tc>
        <w:tc>
          <w:tcPr>
            <w:tcW w:w="1388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lekcija</w:t>
            </w:r>
          </w:p>
        </w:tc>
      </w:tr>
      <w:tr w:rsidR="00C933FA" w:rsidRPr="00C933FA" w:rsidTr="00C258FE">
        <w:trPr>
          <w:trHeight w:val="528"/>
        </w:trPr>
        <w:tc>
          <w:tcPr>
            <w:tcW w:w="1242" w:type="dxa"/>
          </w:tcPr>
          <w:p w:rsidR="00C933FA" w:rsidRPr="00C933FA" w:rsidRDefault="00C933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933FA" w:rsidRP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387" w:type="dxa"/>
          </w:tcPr>
          <w:p w:rsidR="00C933FA" w:rsidRPr="00C258FE" w:rsidRDefault="00C258FE" w:rsidP="00C258FE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511D7D">
              <w:rPr>
                <w:i/>
                <w:lang w:val="lv-LV"/>
              </w:rPr>
              <w:t>Escherichia coli</w:t>
            </w:r>
            <w:r>
              <w:rPr>
                <w:lang w:val="lv-LV"/>
              </w:rPr>
              <w:t xml:space="preserve"> substrāta transporta sistēmu metaboliskā inženierija</w:t>
            </w:r>
          </w:p>
        </w:tc>
        <w:tc>
          <w:tcPr>
            <w:tcW w:w="1388" w:type="dxa"/>
          </w:tcPr>
          <w:p w:rsid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seminārs,</w:t>
            </w:r>
          </w:p>
          <w:p w:rsidR="00C933FA" w:rsidRPr="00EF6152" w:rsidRDefault="00EF61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kontroldarbs</w:t>
            </w:r>
          </w:p>
        </w:tc>
      </w:tr>
    </w:tbl>
    <w:p w:rsidR="00EC2926" w:rsidRPr="00C933FA" w:rsidRDefault="00EC2926">
      <w:pPr>
        <w:rPr>
          <w:rFonts w:ascii="Times New Roman" w:hAnsi="Times New Roman"/>
          <w:b/>
        </w:rPr>
      </w:pPr>
    </w:p>
    <w:sectPr w:rsidR="00EC2926" w:rsidRPr="00C933FA" w:rsidSect="00EC2926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933FA"/>
    <w:rsid w:val="000443E0"/>
    <w:rsid w:val="00111155"/>
    <w:rsid w:val="001D2EF4"/>
    <w:rsid w:val="001F0D41"/>
    <w:rsid w:val="0022612B"/>
    <w:rsid w:val="00265B3B"/>
    <w:rsid w:val="0034222A"/>
    <w:rsid w:val="004075BE"/>
    <w:rsid w:val="007D2AD9"/>
    <w:rsid w:val="009C7F1D"/>
    <w:rsid w:val="00BC39E0"/>
    <w:rsid w:val="00BD2F95"/>
    <w:rsid w:val="00C258FE"/>
    <w:rsid w:val="00C933FA"/>
    <w:rsid w:val="00D527D8"/>
    <w:rsid w:val="00DE3FFB"/>
    <w:rsid w:val="00E057D7"/>
    <w:rsid w:val="00EC2926"/>
    <w:rsid w:val="00EE1F69"/>
    <w:rsid w:val="00EF61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C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3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978</Characters>
  <Application>Microsoft Word 12.1.0</Application>
  <DocSecurity>0</DocSecurity>
  <Lines>8</Lines>
  <Paragraphs>1</Paragraphs>
  <ScaleCrop>false</ScaleCrop>
  <Company>LU MBI</Company>
  <LinksUpToDate>false</LinksUpToDate>
  <CharactersWithSpaces>1201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Kalnenieks</dc:creator>
  <cp:keywords/>
  <cp:lastModifiedBy>Uldis Kalnenieks</cp:lastModifiedBy>
  <cp:revision>24</cp:revision>
  <dcterms:created xsi:type="dcterms:W3CDTF">2012-02-23T13:15:00Z</dcterms:created>
  <dcterms:modified xsi:type="dcterms:W3CDTF">2012-02-23T14:46:00Z</dcterms:modified>
</cp:coreProperties>
</file>